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497C5-C513-4C37-BCC4-B05C6B96D0F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